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4ACDD" w14:textId="77777777" w:rsidR="00E5027D" w:rsidRDefault="00E5027D" w:rsidP="00E5027D">
      <w:pPr>
        <w:spacing w:after="0" w:line="480" w:lineRule="auto"/>
        <w:jc w:val="center"/>
        <w:rPr>
          <w:rFonts w:ascii="Times New Roman" w:hAnsi="Times New Roman" w:cs="Times New Roman"/>
          <w:sz w:val="24"/>
          <w:szCs w:val="24"/>
        </w:rPr>
      </w:pPr>
    </w:p>
    <w:p w14:paraId="2389B4D4" w14:textId="77777777" w:rsidR="00E5027D" w:rsidRDefault="00E5027D" w:rsidP="00E5027D">
      <w:pPr>
        <w:spacing w:after="0" w:line="480" w:lineRule="auto"/>
        <w:jc w:val="center"/>
        <w:rPr>
          <w:rFonts w:ascii="Times New Roman" w:hAnsi="Times New Roman" w:cs="Times New Roman"/>
          <w:sz w:val="24"/>
          <w:szCs w:val="24"/>
        </w:rPr>
      </w:pPr>
    </w:p>
    <w:p w14:paraId="724D319B" w14:textId="77777777" w:rsidR="00E5027D" w:rsidRDefault="00E5027D" w:rsidP="00E5027D">
      <w:pPr>
        <w:spacing w:after="0" w:line="480" w:lineRule="auto"/>
        <w:jc w:val="center"/>
        <w:rPr>
          <w:rFonts w:ascii="Times New Roman" w:hAnsi="Times New Roman" w:cs="Times New Roman"/>
          <w:sz w:val="24"/>
          <w:szCs w:val="24"/>
        </w:rPr>
      </w:pPr>
    </w:p>
    <w:p w14:paraId="1FC85FB4" w14:textId="77777777" w:rsidR="00E5027D" w:rsidRDefault="00E5027D" w:rsidP="00E5027D">
      <w:pPr>
        <w:spacing w:after="0" w:line="480" w:lineRule="auto"/>
        <w:jc w:val="center"/>
        <w:rPr>
          <w:rFonts w:ascii="Times New Roman" w:hAnsi="Times New Roman" w:cs="Times New Roman"/>
          <w:sz w:val="24"/>
          <w:szCs w:val="24"/>
        </w:rPr>
      </w:pPr>
    </w:p>
    <w:p w14:paraId="24AB4EBD" w14:textId="77777777" w:rsidR="00E5027D" w:rsidRDefault="00E5027D" w:rsidP="00E5027D">
      <w:pPr>
        <w:spacing w:after="0" w:line="480" w:lineRule="auto"/>
        <w:jc w:val="center"/>
        <w:rPr>
          <w:rFonts w:ascii="Times New Roman" w:hAnsi="Times New Roman" w:cs="Times New Roman"/>
          <w:sz w:val="24"/>
          <w:szCs w:val="24"/>
        </w:rPr>
      </w:pPr>
    </w:p>
    <w:p w14:paraId="06D386CB" w14:textId="77777777" w:rsidR="00E5027D" w:rsidRDefault="00E5027D" w:rsidP="00E5027D">
      <w:pPr>
        <w:spacing w:after="0" w:line="480" w:lineRule="auto"/>
        <w:jc w:val="center"/>
        <w:rPr>
          <w:rFonts w:ascii="Times New Roman" w:hAnsi="Times New Roman" w:cs="Times New Roman"/>
          <w:sz w:val="24"/>
          <w:szCs w:val="24"/>
        </w:rPr>
      </w:pPr>
    </w:p>
    <w:p w14:paraId="0E0F8A2E" w14:textId="5AF868A6" w:rsidR="00FD6FDC" w:rsidRDefault="00FD6FDC" w:rsidP="00E502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Initial Discussion: </w:t>
      </w:r>
      <w:r w:rsidR="009C004D" w:rsidRPr="009C004D">
        <w:rPr>
          <w:rFonts w:ascii="Times New Roman" w:hAnsi="Times New Roman" w:cs="Times New Roman"/>
          <w:sz w:val="24"/>
          <w:szCs w:val="24"/>
        </w:rPr>
        <w:t>Tangible and Intangible Resources</w:t>
      </w:r>
    </w:p>
    <w:p w14:paraId="2438697A" w14:textId="77777777" w:rsidR="00F73754" w:rsidRDefault="009C004D" w:rsidP="00E502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E7FD7E" w14:textId="77777777" w:rsidR="00F73754" w:rsidRDefault="009C004D" w:rsidP="00E502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73754">
        <w:rPr>
          <w:rFonts w:ascii="Times New Roman" w:hAnsi="Times New Roman" w:cs="Times New Roman"/>
          <w:sz w:val="24"/>
          <w:szCs w:val="24"/>
        </w:rPr>
        <w:t>s</w:t>
      </w:r>
    </w:p>
    <w:p w14:paraId="27D64CA0" w14:textId="77777777" w:rsidR="00E5027D" w:rsidRDefault="00E5027D" w:rsidP="00E502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3F59A6" w14:textId="5612BC80" w:rsidR="009C004D" w:rsidRPr="009C004D" w:rsidRDefault="00E5027D" w:rsidP="00E502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Initial Discussion: </w:t>
      </w:r>
      <w:r w:rsidR="009C004D" w:rsidRPr="009C004D">
        <w:rPr>
          <w:rFonts w:ascii="Times New Roman" w:hAnsi="Times New Roman" w:cs="Times New Roman"/>
          <w:sz w:val="24"/>
          <w:szCs w:val="24"/>
        </w:rPr>
        <w:t>Tangible and Intangible Resources</w:t>
      </w:r>
    </w:p>
    <w:p w14:paraId="35057349" w14:textId="77777777" w:rsidR="00E5027D" w:rsidRDefault="009C004D" w:rsidP="00E5027D">
      <w:pPr>
        <w:spacing w:after="0" w:line="480" w:lineRule="auto"/>
        <w:ind w:firstLine="720"/>
        <w:rPr>
          <w:rFonts w:ascii="Times New Roman" w:hAnsi="Times New Roman" w:cs="Times New Roman"/>
          <w:sz w:val="24"/>
          <w:szCs w:val="24"/>
        </w:rPr>
      </w:pPr>
      <w:r w:rsidRPr="009C004D">
        <w:rPr>
          <w:rFonts w:ascii="Times New Roman" w:hAnsi="Times New Roman" w:cs="Times New Roman"/>
          <w:sz w:val="24"/>
          <w:szCs w:val="24"/>
        </w:rPr>
        <w:t>Every asset in the business organization is a subject to both ownership regulations and accounting principles. The assets can be classified as tangible or intangible. The purpose of classifying the assets into the two types, from the accounting aspect, is to justify the decisions undertaken in the business, ascertains the worth of the business and enables the owners of the business to acquire the benefits associated with asset ownership.</w:t>
      </w:r>
    </w:p>
    <w:p w14:paraId="644A7F4D" w14:textId="2D247496" w:rsidR="009C004D" w:rsidRPr="00E5027D" w:rsidRDefault="009C004D" w:rsidP="00E5027D">
      <w:pPr>
        <w:spacing w:after="0" w:line="480" w:lineRule="auto"/>
        <w:ind w:firstLine="720"/>
        <w:jc w:val="center"/>
        <w:rPr>
          <w:rFonts w:ascii="Times New Roman" w:hAnsi="Times New Roman" w:cs="Times New Roman"/>
          <w:sz w:val="24"/>
          <w:szCs w:val="24"/>
        </w:rPr>
      </w:pPr>
      <w:r w:rsidRPr="00E5027D">
        <w:rPr>
          <w:rFonts w:ascii="Times New Roman" w:hAnsi="Times New Roman" w:cs="Times New Roman"/>
          <w:b/>
          <w:sz w:val="24"/>
          <w:szCs w:val="24"/>
        </w:rPr>
        <w:t>Tangible Resources</w:t>
      </w:r>
    </w:p>
    <w:p w14:paraId="190287B7" w14:textId="77777777" w:rsidR="009C004D" w:rsidRPr="009C004D" w:rsidRDefault="009C004D" w:rsidP="00E5027D">
      <w:pPr>
        <w:spacing w:after="0" w:line="480" w:lineRule="auto"/>
        <w:ind w:firstLine="720"/>
        <w:rPr>
          <w:rFonts w:ascii="Times New Roman" w:hAnsi="Times New Roman" w:cs="Times New Roman"/>
          <w:sz w:val="24"/>
          <w:szCs w:val="24"/>
        </w:rPr>
      </w:pPr>
      <w:r w:rsidRPr="009C004D">
        <w:rPr>
          <w:rFonts w:ascii="Times New Roman" w:hAnsi="Times New Roman" w:cs="Times New Roman"/>
          <w:sz w:val="24"/>
          <w:szCs w:val="24"/>
        </w:rPr>
        <w:t xml:space="preserve">Tangible resources are considered to be the major asset class that is represented on the organization’s accounting books such as balance sheet. According to Odack (2015), tangible resources are assets that are physically visible and can be quantified such as production equipment, manufacturing facilities as well as distribution centers. For example, some of the tangible resources and their capabilities include land and building which can be used for commercial purpose in the firm. Other examples include plants and equipment as well as the vehicles that can be used for commercial purposes too. Odack identifies the classifications or types of tangible resources as physical, financial, and technological. According to Odack (2015), physical resources include the machinery, plant, and equipment that are used in production and capacity building, which “contributes positively towards organizational competitive advantage” (p. 1). The financial resources in the business context include the cash-in-hand, the bank deposits as well as the financial capital such as stocks and shares which facilitates the company’s operations. Tangible resources are often acquired through purchase; therefore, their value can be lost with time. For example, buildings or machinery are bought, but their values depreciate over time. </w:t>
      </w:r>
    </w:p>
    <w:p w14:paraId="111D29B0" w14:textId="77777777" w:rsidR="009C004D" w:rsidRPr="009C004D" w:rsidRDefault="009C004D" w:rsidP="00E5027D">
      <w:pPr>
        <w:spacing w:after="0" w:line="480" w:lineRule="auto"/>
        <w:jc w:val="center"/>
        <w:rPr>
          <w:rFonts w:ascii="Times New Roman" w:hAnsi="Times New Roman" w:cs="Times New Roman"/>
          <w:b/>
          <w:sz w:val="24"/>
          <w:szCs w:val="24"/>
        </w:rPr>
      </w:pPr>
      <w:r w:rsidRPr="009C004D">
        <w:rPr>
          <w:rFonts w:ascii="Times New Roman" w:hAnsi="Times New Roman" w:cs="Times New Roman"/>
          <w:b/>
          <w:sz w:val="24"/>
          <w:szCs w:val="24"/>
        </w:rPr>
        <w:t>Intangible Resources</w:t>
      </w:r>
    </w:p>
    <w:p w14:paraId="26D4ECE0" w14:textId="77777777" w:rsidR="009C004D" w:rsidRDefault="009C004D" w:rsidP="00E5027D">
      <w:pPr>
        <w:spacing w:after="0" w:line="480" w:lineRule="auto"/>
        <w:ind w:firstLine="720"/>
        <w:rPr>
          <w:rFonts w:ascii="Times New Roman" w:hAnsi="Times New Roman" w:cs="Times New Roman"/>
          <w:sz w:val="24"/>
          <w:szCs w:val="24"/>
        </w:rPr>
      </w:pPr>
      <w:r w:rsidRPr="009C004D">
        <w:rPr>
          <w:rFonts w:ascii="Times New Roman" w:hAnsi="Times New Roman" w:cs="Times New Roman"/>
          <w:sz w:val="24"/>
          <w:szCs w:val="24"/>
        </w:rPr>
        <w:lastRenderedPageBreak/>
        <w:t xml:space="preserve">Intangible resources are regarded as the assets that serve as the source of the company’s future economic benefits. Odack (2015) explains that intangible resources are assets that have accumulated in the company over a certain period. According to the author, these assets are almost impossible to be analyzed and imitated by a competitor. Some of the common intangible resources in a business setup include the firm’s brand name, intellectual property, and goodwill. Odack (2015) describes the intangible resources as human resource and reputational resource. The reputational resource includes the brand names, customer and supplier reputation (Odack, 2015). The brand name or trademark is used by the business to enhance the operations of the company. Even though they are not used in the production of a service or product, the business considers its trademark or brand name critical and crucial because it is essential in its continued operations. </w:t>
      </w:r>
    </w:p>
    <w:p w14:paraId="51902018" w14:textId="77777777" w:rsidR="009C004D" w:rsidRPr="009C004D" w:rsidRDefault="009C004D" w:rsidP="00E5027D">
      <w:pPr>
        <w:spacing w:after="0" w:line="480" w:lineRule="auto"/>
        <w:ind w:firstLine="720"/>
        <w:rPr>
          <w:rFonts w:ascii="Times New Roman" w:hAnsi="Times New Roman" w:cs="Times New Roman"/>
          <w:sz w:val="24"/>
          <w:szCs w:val="24"/>
        </w:rPr>
      </w:pPr>
      <w:r w:rsidRPr="009C004D">
        <w:rPr>
          <w:rFonts w:ascii="Times New Roman" w:hAnsi="Times New Roman" w:cs="Times New Roman"/>
          <w:sz w:val="24"/>
          <w:szCs w:val="24"/>
        </w:rPr>
        <w:t xml:space="preserve">The human resources include the intellectual capabilities or knowledge possessed by the employees, the management capabilities and organizational routines. According to Odack (2015), human resources contribute significantly towards the organizational competitive advantage, which also translates to the firm’s superiority in the market. According to Odack (2015), the resource-based view of the company indicates that the activities which the organization undertakes can be effectively formulated and implemented to achieve the competitive advantage. It enables the company to work and implement the strategies more effectively and efficiently to facilitate its competitiveness in the market. Kamasak (2017) further explains that the intangible resources were regarded as the main source of the firm’s success because it is difficult for a competitor to acquire or replicate them. </w:t>
      </w:r>
    </w:p>
    <w:p w14:paraId="0921769A" w14:textId="61B5D6A6" w:rsidR="009C004D" w:rsidRDefault="009C004D" w:rsidP="00E5027D">
      <w:pPr>
        <w:spacing w:after="0" w:line="480" w:lineRule="auto"/>
        <w:ind w:firstLine="720"/>
        <w:rPr>
          <w:rFonts w:ascii="Times New Roman" w:hAnsi="Times New Roman" w:cs="Times New Roman"/>
          <w:sz w:val="24"/>
          <w:szCs w:val="24"/>
        </w:rPr>
      </w:pPr>
      <w:r w:rsidRPr="009C004D">
        <w:rPr>
          <w:rFonts w:ascii="Times New Roman" w:hAnsi="Times New Roman" w:cs="Times New Roman"/>
          <w:sz w:val="24"/>
          <w:szCs w:val="24"/>
        </w:rPr>
        <w:t xml:space="preserve">With the emergence of technology, businesses have become more creative and innovative. It is easy to formulate a strategy that has already been adopted by another company. </w:t>
      </w:r>
      <w:r w:rsidRPr="009C004D">
        <w:rPr>
          <w:rFonts w:ascii="Times New Roman" w:hAnsi="Times New Roman" w:cs="Times New Roman"/>
          <w:sz w:val="24"/>
          <w:szCs w:val="24"/>
        </w:rPr>
        <w:lastRenderedPageBreak/>
        <w:t>As Kamasak (2017) explains, organizations need to design other strategies that can not only integrate and reconfigure resources, but it is also able to renew as well as change the resource mix to cope with the market environmental dynamics.</w:t>
      </w:r>
    </w:p>
    <w:p w14:paraId="0A05E286" w14:textId="77777777" w:rsidR="00E5027D" w:rsidRDefault="00E5027D" w:rsidP="00E502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63CFB23B" w14:textId="3753197F" w:rsidR="009C004D" w:rsidRPr="009C004D" w:rsidRDefault="009C004D" w:rsidP="00E502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1F57BCB" w14:textId="77777777" w:rsidR="009C004D" w:rsidRPr="00DF637F" w:rsidRDefault="009C004D" w:rsidP="00E5027D">
      <w:pPr>
        <w:spacing w:after="0" w:line="480" w:lineRule="auto"/>
        <w:ind w:left="720" w:hanging="720"/>
        <w:rPr>
          <w:rFonts w:ascii="Times New Roman" w:hAnsi="Times New Roman" w:cs="Times New Roman"/>
          <w:color w:val="222222"/>
          <w:sz w:val="24"/>
          <w:szCs w:val="24"/>
          <w:shd w:val="clear" w:color="auto" w:fill="FFFFFF"/>
        </w:rPr>
      </w:pPr>
      <w:r w:rsidRPr="00DF637F">
        <w:rPr>
          <w:rFonts w:ascii="Times New Roman" w:hAnsi="Times New Roman" w:cs="Times New Roman"/>
          <w:color w:val="222222"/>
          <w:sz w:val="24"/>
          <w:szCs w:val="24"/>
          <w:shd w:val="clear" w:color="auto" w:fill="FFFFFF"/>
        </w:rPr>
        <w:t>Kamasak, R. (2017). The contribution of tangible and intangible resources, and capabilities to a firm’s profitability and market performance. </w:t>
      </w:r>
      <w:r w:rsidRPr="00DF637F">
        <w:rPr>
          <w:rFonts w:ascii="Times New Roman" w:hAnsi="Times New Roman" w:cs="Times New Roman"/>
          <w:i/>
          <w:iCs/>
          <w:color w:val="222222"/>
          <w:sz w:val="24"/>
          <w:szCs w:val="24"/>
          <w:shd w:val="clear" w:color="auto" w:fill="FFFFFF"/>
        </w:rPr>
        <w:t>European Journal of Management and Business Economics</w:t>
      </w:r>
      <w:r w:rsidRPr="00DF637F">
        <w:rPr>
          <w:rFonts w:ascii="Times New Roman" w:hAnsi="Times New Roman" w:cs="Times New Roman"/>
          <w:color w:val="222222"/>
          <w:sz w:val="24"/>
          <w:szCs w:val="24"/>
          <w:shd w:val="clear" w:color="auto" w:fill="FFFFFF"/>
        </w:rPr>
        <w:t>, </w:t>
      </w:r>
      <w:r w:rsidRPr="00DF637F">
        <w:rPr>
          <w:rFonts w:ascii="Times New Roman" w:hAnsi="Times New Roman" w:cs="Times New Roman"/>
          <w:i/>
          <w:iCs/>
          <w:color w:val="222222"/>
          <w:sz w:val="24"/>
          <w:szCs w:val="24"/>
          <w:shd w:val="clear" w:color="auto" w:fill="FFFFFF"/>
        </w:rPr>
        <w:t>26</w:t>
      </w:r>
      <w:r w:rsidRPr="00DF637F">
        <w:rPr>
          <w:rFonts w:ascii="Times New Roman" w:hAnsi="Times New Roman" w:cs="Times New Roman"/>
          <w:color w:val="222222"/>
          <w:sz w:val="24"/>
          <w:szCs w:val="24"/>
          <w:shd w:val="clear" w:color="auto" w:fill="FFFFFF"/>
        </w:rPr>
        <w:t>(2), 252-275. Retrieved from https://www.emeraldinsight.com/doi/full/10.1108/EJMBE-07-2017-015</w:t>
      </w:r>
    </w:p>
    <w:p w14:paraId="7E65ACBC" w14:textId="48ECBF53" w:rsidR="00F31A75" w:rsidRPr="009C004D" w:rsidRDefault="009C004D" w:rsidP="00E5027D">
      <w:pPr>
        <w:spacing w:after="0" w:line="480" w:lineRule="auto"/>
        <w:ind w:left="720" w:hanging="720"/>
        <w:rPr>
          <w:rFonts w:ascii="Times New Roman" w:hAnsi="Times New Roman" w:cs="Times New Roman"/>
          <w:sz w:val="24"/>
          <w:szCs w:val="24"/>
        </w:rPr>
      </w:pPr>
      <w:r w:rsidRPr="00DF637F">
        <w:rPr>
          <w:rFonts w:ascii="Times New Roman" w:hAnsi="Times New Roman" w:cs="Times New Roman"/>
          <w:color w:val="222222"/>
          <w:sz w:val="24"/>
          <w:szCs w:val="24"/>
          <w:shd w:val="clear" w:color="auto" w:fill="FFFFFF"/>
        </w:rPr>
        <w:t>Odack, R. (2015). </w:t>
      </w:r>
      <w:r w:rsidRPr="00DF637F">
        <w:rPr>
          <w:rFonts w:ascii="Times New Roman" w:hAnsi="Times New Roman" w:cs="Times New Roman"/>
          <w:i/>
          <w:iCs/>
          <w:color w:val="222222"/>
          <w:sz w:val="24"/>
          <w:szCs w:val="24"/>
          <w:shd w:val="clear" w:color="auto" w:fill="FFFFFF"/>
        </w:rPr>
        <w:t>Organization Resource Factors and Sustainable Competitive Advantage in Institutions of Higher Learning A Case of United States International University</w:t>
      </w:r>
      <w:r w:rsidR="009502C1">
        <w:rPr>
          <w:rFonts w:ascii="Times New Roman" w:hAnsi="Times New Roman" w:cs="Times New Roman"/>
          <w:i/>
          <w:iCs/>
          <w:color w:val="222222"/>
          <w:sz w:val="24"/>
          <w:szCs w:val="24"/>
          <w:shd w:val="clear" w:color="auto" w:fill="FFFFFF"/>
        </w:rPr>
        <w:t xml:space="preserve"> </w:t>
      </w:r>
      <w:r w:rsidRPr="00DF637F">
        <w:rPr>
          <w:rFonts w:ascii="Times New Roman" w:hAnsi="Times New Roman" w:cs="Times New Roman"/>
          <w:color w:val="222222"/>
          <w:sz w:val="24"/>
          <w:szCs w:val="24"/>
          <w:shd w:val="clear" w:color="auto" w:fill="FFFFFF"/>
        </w:rPr>
        <w:t>(Doctoral dissertation, United States International University-Africa). Retrieved from http://erepo.usiu.ac.ke/bitstream/handle/11732/2186/Organization%20Resource%20Factors%20and%20Sustainable%20Competitive%20Advantage%20in%20Institutions%20of%20Higher%20Learning%20a%20Case%20of%20United%20States%20International%20University.pdf?sequence=3&amp;isAllowed=y</w:t>
      </w:r>
    </w:p>
    <w:sectPr w:rsidR="00F31A75" w:rsidRPr="009C004D" w:rsidSect="009C00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375F6" w14:textId="77777777" w:rsidR="00ED00BC" w:rsidRDefault="00ED00BC" w:rsidP="009C004D">
      <w:pPr>
        <w:spacing w:after="0" w:line="240" w:lineRule="auto"/>
      </w:pPr>
      <w:r>
        <w:separator/>
      </w:r>
    </w:p>
  </w:endnote>
  <w:endnote w:type="continuationSeparator" w:id="0">
    <w:p w14:paraId="43E469BA" w14:textId="77777777" w:rsidR="00ED00BC" w:rsidRDefault="00ED00BC" w:rsidP="009C0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BC76C" w14:textId="77777777" w:rsidR="00ED00BC" w:rsidRDefault="00ED00BC" w:rsidP="009C004D">
      <w:pPr>
        <w:spacing w:after="0" w:line="240" w:lineRule="auto"/>
      </w:pPr>
      <w:r>
        <w:separator/>
      </w:r>
    </w:p>
  </w:footnote>
  <w:footnote w:type="continuationSeparator" w:id="0">
    <w:p w14:paraId="4F47986A" w14:textId="77777777" w:rsidR="00ED00BC" w:rsidRDefault="00ED00BC" w:rsidP="009C0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1DE76" w14:textId="58689A89" w:rsidR="009C004D" w:rsidRPr="00F73754" w:rsidRDefault="009C004D" w:rsidP="00F73754">
    <w:pPr>
      <w:pStyle w:val="Header"/>
      <w:jc w:val="right"/>
      <w:rPr>
        <w:rFonts w:ascii="Times New Roman" w:hAnsi="Times New Roman" w:cs="Times New Roman"/>
      </w:rPr>
    </w:pPr>
    <w:r w:rsidRPr="00F73754">
      <w:rPr>
        <w:rFonts w:ascii="Times New Roman" w:hAnsi="Times New Roman" w:cs="Times New Roman"/>
      </w:rPr>
      <w:t>TANGIBLE AND INTANGIBLE RESOURCES</w:t>
    </w:r>
    <w:r w:rsidRPr="00F73754">
      <w:rPr>
        <w:rFonts w:ascii="Times New Roman" w:hAnsi="Times New Roman" w:cs="Times New Roman"/>
      </w:rPr>
      <w:tab/>
    </w:r>
    <w:r w:rsidR="00F73754">
      <w:rPr>
        <w:rFonts w:ascii="Times New Roman" w:hAnsi="Times New Roman" w:cs="Times New Roman"/>
      </w:rPr>
      <w:t xml:space="preserve">                                                                                         </w:t>
    </w:r>
    <w:r w:rsidRPr="00F73754">
      <w:rPr>
        <w:rFonts w:ascii="Times New Roman" w:hAnsi="Times New Roman" w:cs="Times New Roman"/>
      </w:rPr>
      <w:fldChar w:fldCharType="begin"/>
    </w:r>
    <w:r w:rsidRPr="00F73754">
      <w:rPr>
        <w:rFonts w:ascii="Times New Roman" w:hAnsi="Times New Roman" w:cs="Times New Roman"/>
      </w:rPr>
      <w:instrText xml:space="preserve"> PAGE   \* MERGEFORMAT </w:instrText>
    </w:r>
    <w:r w:rsidRPr="00F73754">
      <w:rPr>
        <w:rFonts w:ascii="Times New Roman" w:hAnsi="Times New Roman" w:cs="Times New Roman"/>
      </w:rPr>
      <w:fldChar w:fldCharType="separate"/>
    </w:r>
    <w:r w:rsidRPr="00F73754">
      <w:rPr>
        <w:rFonts w:ascii="Times New Roman" w:hAnsi="Times New Roman" w:cs="Times New Roman"/>
        <w:noProof/>
      </w:rPr>
      <w:t>2</w:t>
    </w:r>
    <w:r w:rsidRPr="00F73754">
      <w:rPr>
        <w:rFonts w:ascii="Times New Roman" w:hAnsi="Times New Roman" w:cs="Times New Roman"/>
        <w:noProof/>
      </w:rPr>
      <w:fldChar w:fldCharType="end"/>
    </w:r>
  </w:p>
  <w:p w14:paraId="7CA02304" w14:textId="77777777" w:rsidR="009C004D" w:rsidRDefault="009C0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75332" w14:textId="172AF16C" w:rsidR="009C004D" w:rsidRPr="00F73754" w:rsidRDefault="009C004D">
    <w:pPr>
      <w:pStyle w:val="Header"/>
      <w:rPr>
        <w:rFonts w:ascii="Times New Roman" w:hAnsi="Times New Roman" w:cs="Times New Roman"/>
      </w:rPr>
    </w:pPr>
    <w:r w:rsidRPr="00F73754">
      <w:rPr>
        <w:rFonts w:ascii="Times New Roman" w:hAnsi="Times New Roman" w:cs="Times New Roman"/>
      </w:rPr>
      <w:t>Running head: TANGIBLE AND INTANGIBLE RESOURCES</w:t>
    </w:r>
    <w:r w:rsidRPr="00F73754">
      <w:rPr>
        <w:rFonts w:ascii="Times New Roman" w:hAnsi="Times New Roman" w:cs="Times New Roman"/>
      </w:rPr>
      <w:tab/>
    </w:r>
    <w:r w:rsidRPr="00F73754">
      <w:rPr>
        <w:rFonts w:ascii="Times New Roman" w:hAnsi="Times New Roman" w:cs="Times New Roman"/>
      </w:rPr>
      <w:fldChar w:fldCharType="begin"/>
    </w:r>
    <w:r w:rsidRPr="00F73754">
      <w:rPr>
        <w:rFonts w:ascii="Times New Roman" w:hAnsi="Times New Roman" w:cs="Times New Roman"/>
      </w:rPr>
      <w:instrText xml:space="preserve"> PAGE   \* MERGEFORMAT </w:instrText>
    </w:r>
    <w:r w:rsidRPr="00F73754">
      <w:rPr>
        <w:rFonts w:ascii="Times New Roman" w:hAnsi="Times New Roman" w:cs="Times New Roman"/>
      </w:rPr>
      <w:fldChar w:fldCharType="separate"/>
    </w:r>
    <w:r w:rsidRPr="00F73754">
      <w:rPr>
        <w:rFonts w:ascii="Times New Roman" w:hAnsi="Times New Roman" w:cs="Times New Roman"/>
        <w:noProof/>
      </w:rPr>
      <w:t>1</w:t>
    </w:r>
    <w:r w:rsidRPr="00F73754">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1430B"/>
    <w:multiLevelType w:val="hybridMultilevel"/>
    <w:tmpl w:val="938A7D5A"/>
    <w:lvl w:ilvl="0" w:tplc="CAD02F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1ED"/>
    <w:rsid w:val="000911A5"/>
    <w:rsid w:val="00136093"/>
    <w:rsid w:val="00525A7D"/>
    <w:rsid w:val="00594794"/>
    <w:rsid w:val="006641ED"/>
    <w:rsid w:val="0081384E"/>
    <w:rsid w:val="009502C1"/>
    <w:rsid w:val="00957545"/>
    <w:rsid w:val="009C004D"/>
    <w:rsid w:val="00A21A90"/>
    <w:rsid w:val="00B975E3"/>
    <w:rsid w:val="00E5027D"/>
    <w:rsid w:val="00ED00BC"/>
    <w:rsid w:val="00F31A75"/>
    <w:rsid w:val="00F73754"/>
    <w:rsid w:val="00FB11E3"/>
    <w:rsid w:val="00FB403A"/>
    <w:rsid w:val="00FD6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03E91"/>
  <w15:docId w15:val="{8BB60790-7C61-4F5F-BCCE-17C242B5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04D"/>
  </w:style>
  <w:style w:type="paragraph" w:styleId="Footer">
    <w:name w:val="footer"/>
    <w:basedOn w:val="Normal"/>
    <w:link w:val="FooterChar"/>
    <w:uiPriority w:val="99"/>
    <w:unhideWhenUsed/>
    <w:rsid w:val="009C0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04D"/>
  </w:style>
  <w:style w:type="paragraph" w:styleId="ListParagraph">
    <w:name w:val="List Paragraph"/>
    <w:basedOn w:val="Normal"/>
    <w:uiPriority w:val="34"/>
    <w:qFormat/>
    <w:rsid w:val="00E50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2018-09-07T10:46:00Z</dcterms:created>
  <dcterms:modified xsi:type="dcterms:W3CDTF">2018-09-07T19:01:00Z</dcterms:modified>
</cp:coreProperties>
</file>